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Nota: esta ley modifica la Ley provincial Nº 14.371 (Prevención y erradicación de violencias y acoso en el trabajo). Los textos entre comillas son los artículos nuevos que reemplazan a los de la Ley 14.371.</w:t>
      </w:r>
    </w:p>
    <w:p>
      <w:pPr>
        <w:spacing w:after="160" w:before="12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LEY Nº 14.430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 LEGISLATURA DE LA PROVINCIA DE SANTA FE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SANCIONA CON FUERZA DE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LEY: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1 -</w:t>
      </w:r>
      <w:r>
        <w:rPr>
          <w:rFonts w:ascii="Arial" w:cs="Arial" w:eastAsia="Arial" w:hAnsi="Arial"/>
          <w:sz w:val="22"/>
          <w:szCs w:val="22"/>
        </w:rPr>
        <w:t xml:space="preserve"> Derógase el artículo 2 inc. e) de la Ley 14.371.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2 -</w:t>
      </w:r>
      <w:r>
        <w:rPr>
          <w:rFonts w:ascii="Arial" w:cs="Arial" w:eastAsia="Arial" w:hAnsi="Arial"/>
          <w:sz w:val="22"/>
          <w:szCs w:val="22"/>
        </w:rPr>
        <w:t xml:space="preserve"> Sustitúyese el artículo 6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6º- Autoridad de Aplicación. La autoridad de aplicación de la presente ley será: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a) La Defensoría del Pueblo de la Provincia de Santa Fe, cuando los hechos de violencia o acoso laboral se produzcan en el ámbito público provincial o municipal, comprendiendo administración central, organismos descentralizados, entes autárquicos, empresas y sociedades del Estado, y administraciones municipales y comunales.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b) El Ministerio de Trabajo, Empleo y Seguridad Social de la Provincia de Santa Fe, cuando los hechos se produzcan en el ámbito privado, cualquiera sea la modalidad de contratación laboral.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La autoridad de aplicación actuará con las facultades establecidas en esta ley y su reglamentación.”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3 -</w:t>
      </w:r>
      <w:r>
        <w:rPr>
          <w:rFonts w:ascii="Arial" w:cs="Arial" w:eastAsia="Arial" w:hAnsi="Arial"/>
          <w:sz w:val="22"/>
          <w:szCs w:val="22"/>
        </w:rPr>
        <w:t xml:space="preserve"> Modifícase el artículo 7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7 - Funciones de la autoridad de aplicación. Son funciones de la autoridad de aplicación: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a) garantizar y asegurar el respeto, la promoción y el disfrute del derecho de las personas a un mundo del trabajo libre de violencias y acoso;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b) adoptar un enfoque inclusivo, integrado, de género y derechos humanos para prevenir y erradicar las violencias y el acoso en el mundo del trabajo;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c) establecer mecanismos de control de la aplicación y de seguimiento de la presente;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d) velar por que las víctimas tengan acceso a vías de recurso y reparación, y medidas de apoyo;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e) desarrollar herramientas, orientaciones y actividades de educación y de formación, y actividades de sensibilización, en forma accesible;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f) garantizar que existan medios de inspección preventiva de los casos de violencias y acoso;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g) implementar políticas que garanticen el derecho a la igualdad y a la no discriminación en el empleo y la ocupación, incluyendo a las personas trabajadoras y otras personas pertenecientes a uno o a varios grupos vulnerables, o a grupos en situación de vulnerabilidad que estén afectados de manera desproporcionada por las violencias y el acoso en el mundo del trabajo;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h) solicitar a los organismos, empresas y personas empleadoras la creación de documentos detallando los riesgos laborales a los que se encuentra expuesto cada establecimiento;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i) dar a conocer los derechos y obligaciones de las personas trabajadoras y empleadoras en materia de prevención de las violencias y el acoso en el mundo del trabajo;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j) diseñar propuestas de políticas de difusión y prevención de violencia laboral, planificar capacitaciones, realizar un seguimiento de la temática relativa a violencia laboral, a fin de proponer a futuro nuevas medidas de prevención y perfeccionar las existentes;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k) implementar campañas de sensibilización, difusión y capacitación sobre la temática, sensible a un enfoque de género y diversidad sexual;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l) dictar el Protocolo Integral de Actuación para la Prevención, Detección y Erradicación de las Violencias y el Acoso en el Mundo del Trabajo, y certificar los protocolos internos que adopten las empresas u organizaciones empleadoras, los que deberán ajustarse a dicho Protocolo Marco y a las disposiciones de la presente ley, sin perjuicio de que puedan ampliarse en favor de una mayor protección de derechos.”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4 -</w:t>
      </w:r>
      <w:r>
        <w:rPr>
          <w:rFonts w:ascii="Arial" w:cs="Arial" w:eastAsia="Arial" w:hAnsi="Arial"/>
          <w:sz w:val="22"/>
          <w:szCs w:val="22"/>
        </w:rPr>
        <w:t xml:space="preserve"> Sustitúyese el artículo 17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17 - Campañas. La autoridad de aplicación, con intervención de otras áreas del ámbito provincial que correspondan, entidades gremiales, empresariales y organizaciones de la sociedad civil, debe llevar adelante el diseño e implementación de campañas de sensibilización y capacitación dirigidas a personas trabajadoras y personas empleadoras, orientadas a visibilizar la problemática de las violencias y acoso en el mundo del trabajo”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5 -</w:t>
      </w:r>
      <w:r>
        <w:rPr>
          <w:rFonts w:ascii="Arial" w:cs="Arial" w:eastAsia="Arial" w:hAnsi="Arial"/>
          <w:sz w:val="22"/>
          <w:szCs w:val="22"/>
        </w:rPr>
        <w:t xml:space="preserve"> Sustitúyese el artículo 18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18 - Inspección. La autoridad de aplicación deberá realizar visitas preventivas y periódicas a los lugares de trabajo, con el objeto de promover y fomentar ambientes laborales libres de violencias y acoso laboral, así como de verificar el cumplimiento de las disposiciones de la presente norma.”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6 -</w:t>
      </w:r>
      <w:r>
        <w:rPr>
          <w:rFonts w:ascii="Arial" w:cs="Arial" w:eastAsia="Arial" w:hAnsi="Arial"/>
          <w:sz w:val="22"/>
          <w:szCs w:val="22"/>
        </w:rPr>
        <w:t xml:space="preserve"> Derógase el artículo 19 de la Ley 14.371.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7 -</w:t>
      </w:r>
      <w:r>
        <w:rPr>
          <w:rFonts w:ascii="Arial" w:cs="Arial" w:eastAsia="Arial" w:hAnsi="Arial"/>
          <w:sz w:val="22"/>
          <w:szCs w:val="22"/>
        </w:rPr>
        <w:t xml:space="preserve"> Derógase el artículo 20 de la Ley 14.371.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8 -</w:t>
      </w:r>
      <w:r>
        <w:rPr>
          <w:rFonts w:ascii="Arial" w:cs="Arial" w:eastAsia="Arial" w:hAnsi="Arial"/>
          <w:sz w:val="22"/>
          <w:szCs w:val="22"/>
        </w:rPr>
        <w:t xml:space="preserve"> Sustitúyese el artículo 22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22 - Creación. Créase, en el ámbito de la autoridad de aplicación, el Equipo de Abordaje Integral de las Violencias (en adelante el Equipo) como órgano encargado de la recepción, contención y abordaje de los casos consultados o denunciados.”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9 -</w:t>
      </w:r>
      <w:r>
        <w:rPr>
          <w:rFonts w:ascii="Arial" w:cs="Arial" w:eastAsia="Arial" w:hAnsi="Arial"/>
          <w:sz w:val="22"/>
          <w:szCs w:val="22"/>
        </w:rPr>
        <w:t xml:space="preserve"> Sustitúyese el artículo 25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25 - Protocolo. La autoridad de aplicación deberá dictar un Protocolo Integral de Actuación para la Prevención, Detección y Erradicación de las Violencias y el Acoso en el Mundo del Trabajo, que adopte un enfoque preventivo, garantice el principio de imparcialidad en los procedimientos, e incorpore la perspectiva de género y de derechos humanos, conforme a los estándares establecidos por el Convenio N° 190 de la Organización Internacional del Trabajo y su Recomendación N° 206.”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10 -</w:t>
      </w:r>
      <w:r>
        <w:rPr>
          <w:rFonts w:ascii="Arial" w:cs="Arial" w:eastAsia="Arial" w:hAnsi="Arial"/>
          <w:sz w:val="22"/>
          <w:szCs w:val="22"/>
        </w:rPr>
        <w:t xml:space="preserve"> Incorpórase el artículo 25 bis a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25 bis - Estándares mínimos. El Protocolo Integral de Actuación, en los términos del artículo anterior, deberá asegurar como mínimo: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a) la accesibilidad a los mecanismos de consulta y denuncia;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b) la confidencialidad, privacidad y protección de las personas involucradas;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c) la adopción de medidas que eviten la revictimización y garanticen un abordaje adecuado e inmediato;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d) la intervención interdisciplinaria y con perspectiva de género y diversidad;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e) el acceso a información, orientación y acompañamiento durante el proceso;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f) la gratuidad del acceso a los mecanismos de consulta, denuncia, tramitación y abordaje previstos en la presente ley, sin exigencia de aranceles, tasas ni gastos de ningún tipo para las personas involucradas.”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11 -</w:t>
      </w:r>
      <w:r>
        <w:rPr>
          <w:rFonts w:ascii="Arial" w:cs="Arial" w:eastAsia="Arial" w:hAnsi="Arial"/>
          <w:sz w:val="22"/>
          <w:szCs w:val="22"/>
        </w:rPr>
        <w:t xml:space="preserve"> Sustitúyese el artículo 27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27 - Denuncias. Cualquier persona, sea esta la víctima, una persona testigo o quien conozca una situación de violencia o acoso laboral, en ámbitos públicos o privados, está habilitada para denunciar la misma.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Asimismo, el denunciante podrá consultar y solicitar la participación del Equipo interdisciplinario cuando lo considere necesario para el abordaje integral del caso.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En los supuestos de empleo público provincial, la denuncia deberá efectuarse ante la Defensoría del Pueblo, la cual la recibirá, instruirá y sustanciará el procedimiento según determine la autoridad de aplicación.”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12 -</w:t>
      </w:r>
      <w:r>
        <w:rPr>
          <w:rFonts w:ascii="Arial" w:cs="Arial" w:eastAsia="Arial" w:hAnsi="Arial"/>
          <w:sz w:val="22"/>
          <w:szCs w:val="22"/>
        </w:rPr>
        <w:t xml:space="preserve"> Sustitúyese el artículo 38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38 - Registro. La autoridad de aplicación deberá crear un Registro Provincial Sobre Violencias y Acoso en el Mundo del Trabajo.”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13 -</w:t>
      </w:r>
      <w:r>
        <w:rPr>
          <w:rFonts w:ascii="Arial" w:cs="Arial" w:eastAsia="Arial" w:hAnsi="Arial"/>
          <w:sz w:val="22"/>
          <w:szCs w:val="22"/>
        </w:rPr>
        <w:t xml:space="preserve"> Sustitúyese el artículo 39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39 - Funciones. El Registro tiene las siguientes funciones: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a) publicar las acciones realizadas y sus resultados;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b) difundir estadísticas periódicas sobre violencias y acoso en el mundo del trabajo, desglosadas por género, forma y sector de actividad económica;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c) elaborar informes requeridos por el Ministerio Público de la Acusación, Juzgados de Distrito de Primera Instancia con competencia en lo Laboral y demás reparticiones oficiales que lo soliciten;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d) producir y analizar la información sobre violencias y acoso en el mundo del trabajo, y difundir la aplicación de las disposiciones presentes;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e) desagregar los datos e indicadores por género para contar con un diagnóstico inicial sobre la incidencia y formas de violencias sobre las mujeres y personas del colectivo de la diversidad sexual y de género; y</w:t>
      </w:r>
    </w:p>
    <w:p>
      <w:pPr>
        <w:spacing w:after="40"/>
        <w:ind w:left="1134"/>
        <w:jc w:val="both"/>
      </w:pPr>
      <w:r>
        <w:rPr>
          <w:rFonts w:ascii="Arial" w:cs="Arial" w:eastAsia="Arial" w:hAnsi="Arial"/>
          <w:sz w:val="22"/>
          <w:szCs w:val="22"/>
        </w:rPr>
        <w:t xml:space="preserve">f) publicar informes del estado de violencia laboral en la Provincia.”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14 -</w:t>
      </w:r>
      <w:r>
        <w:rPr>
          <w:rFonts w:ascii="Arial" w:cs="Arial" w:eastAsia="Arial" w:hAnsi="Arial"/>
          <w:sz w:val="22"/>
          <w:szCs w:val="22"/>
        </w:rPr>
        <w:t xml:space="preserve"> Sustitúyese el artículo 40 de la Ley 14.371, el que queda redactado de la siguiente manera: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“ARTÍCULO 40 - Incentivos. La autoridad de aplicación podrá establecer mecanismos de reconocimiento, certificación o estímulos, dirigidos a empleadores y organizaciones que implementen programas o acciones de prevención y abordaje de la violencia y el acoso en el trabajo.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Dichos incentivos tendrán carácter voluntario y podrán incluir distinciones, certificaciones de buenas prácticas u otras formas de reconocimiento - materiales o inmateriales- que promuevan la adopción progresiva de entornos laborales seguros, respetuosos y libres de violencia y acoso.</w:t>
      </w:r>
    </w:p>
    <w:p>
      <w:pPr>
        <w:spacing w:after="60" w:before="6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La autoridad de aplicación determinará los requisitos, el procedimiento y los criterios de evaluación para su otorgamiento.”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15 -</w:t>
      </w:r>
      <w:r>
        <w:rPr>
          <w:rFonts w:ascii="Arial" w:cs="Arial" w:eastAsia="Arial" w:hAnsi="Arial"/>
          <w:sz w:val="22"/>
          <w:szCs w:val="22"/>
        </w:rPr>
        <w:t xml:space="preserve"> Derógase el artículo 41 de la Ley 14.371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16 -</w:t>
      </w:r>
      <w:r>
        <w:rPr>
          <w:rFonts w:ascii="Arial" w:cs="Arial" w:eastAsia="Arial" w:hAnsi="Arial"/>
          <w:sz w:val="22"/>
          <w:szCs w:val="22"/>
        </w:rPr>
        <w:t xml:space="preserve"> Derógase el artículo 42 de la Ley 14.371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17 -</w:t>
      </w:r>
      <w:r>
        <w:rPr>
          <w:rFonts w:ascii="Arial" w:cs="Arial" w:eastAsia="Arial" w:hAnsi="Arial"/>
          <w:sz w:val="22"/>
          <w:szCs w:val="22"/>
        </w:rPr>
        <w:t xml:space="preserve"> Derógase el artículo 43 de la Ley 14.371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18 -</w:t>
      </w:r>
      <w:r>
        <w:rPr>
          <w:rFonts w:ascii="Arial" w:cs="Arial" w:eastAsia="Arial" w:hAnsi="Arial"/>
          <w:sz w:val="22"/>
          <w:szCs w:val="22"/>
        </w:rPr>
        <w:t xml:space="preserve"> Derógase el artículo 44 de la Ley 14.371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19 -</w:t>
      </w:r>
      <w:r>
        <w:rPr>
          <w:rFonts w:ascii="Arial" w:cs="Arial" w:eastAsia="Arial" w:hAnsi="Arial"/>
          <w:sz w:val="22"/>
          <w:szCs w:val="22"/>
        </w:rPr>
        <w:t xml:space="preserve"> Derógase el artículo 47 de la Ley 14.371.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20 -</w:t>
      </w:r>
      <w:r>
        <w:rPr>
          <w:rFonts w:ascii="Arial" w:cs="Arial" w:eastAsia="Arial" w:hAnsi="Arial"/>
          <w:sz w:val="22"/>
          <w:szCs w:val="22"/>
        </w:rPr>
        <w:t xml:space="preserve"> Derógase el ANEXO 1 de la Ley 14.371.</w:t>
      </w:r>
    </w:p>
    <w:p>
      <w:pPr>
        <w:spacing w:after="80" w:before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ARTÍCULO 21 -</w:t>
      </w:r>
      <w:r>
        <w:rPr>
          <w:rFonts w:ascii="Arial" w:cs="Arial" w:eastAsia="Arial" w:hAnsi="Arial"/>
          <w:sz w:val="22"/>
          <w:szCs w:val="22"/>
        </w:rPr>
        <w:t xml:space="preserve"> Comuníquese al Poder Ejecutivo.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DADA EN LA SALA DE SESIONES DE LA LEGISLATURA DE LA PROVINCIA DE SANTA FE, EL DÍA DIECIOCHO DEL MES DE DICIEMBRE DEL AÑO DOS MIL VEINTICINCO.</w:t>
      </w:r>
    </w:p>
    <w:p>
      <w:pPr>
        <w:spacing w:after="120"/>
      </w:pPr>
    </w:p>
    <w:p>
      <w:pPr>
        <w:spacing w:after="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CLARA GARCIA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PRESIDENTA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CÁMARA DE DIPUTADAS Y DIPUTADOS</w:t>
      </w:r>
    </w:p>
    <w:p>
      <w:pPr>
        <w:spacing w:after="120"/>
      </w:pPr>
    </w:p>
    <w:p>
      <w:pPr>
        <w:spacing w:after="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FELIPE MICHLIG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PRESIDENTE PROVISIONAL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CÁMARA DE SENADORES</w:t>
      </w:r>
    </w:p>
    <w:p>
      <w:pPr>
        <w:spacing w:after="120"/>
      </w:pPr>
    </w:p>
    <w:p>
      <w:pPr>
        <w:spacing w:after="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MARIA PAULA SALARI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SECRETARIA PARLAMENTARIA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CÁMARA DE DIPUTADAS Y DIPUTADOS</w:t>
      </w:r>
    </w:p>
    <w:p>
      <w:pPr>
        <w:spacing w:after="120"/>
      </w:pPr>
    </w:p>
    <w:p>
      <w:pPr>
        <w:spacing w:after="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AGUSTIN C. LEMOS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SECRETARIO LEGISLATIVO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CÁMARA DE SENADORES</w:t>
      </w:r>
    </w:p>
    <w:p>
      <w:pPr>
        <w:spacing w:after="120"/>
      </w:pP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DECRETO N.º 3282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Santa Fe, 23 de Diciembre de 2025</w:t>
      </w:r>
    </w:p>
    <w:p>
      <w:pPr>
        <w:spacing w:after="8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VISTO:</w:t>
      </w:r>
      <w:r>
        <w:rPr>
          <w:rFonts w:ascii="Arial" w:cs="Arial" w:eastAsia="Arial" w:hAnsi="Arial"/>
          <w:sz w:val="22"/>
          <w:szCs w:val="22"/>
        </w:rPr>
        <w:t xml:space="preserve"> La aprobación de la Ley que antecede Nº 14430 efectuada por la H. Legislatura;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EL GOBERNADOR DE LA PROVINCIA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DECRETA:</w:t>
      </w:r>
    </w:p>
    <w:p>
      <w:pPr>
        <w:spacing w:after="80"/>
        <w:jc w:val="both"/>
      </w:pPr>
      <w:r>
        <w:rPr>
          <w:rFonts w:ascii="Arial" w:cs="Arial" w:eastAsia="Arial" w:hAnsi="Arial"/>
          <w:sz w:val="22"/>
          <w:szCs w:val="22"/>
        </w:rPr>
        <w:t xml:space="preserve">Promúlgase como Ley del Estado, insértese en el Registro General de Leyes con el sello oficial, publíquese en el Boletín Oficial, cúmplase por todos a quienes corresponde observarla y hacerla observar.</w:t>
      </w:r>
    </w:p>
    <w:p>
      <w:pPr>
        <w:spacing w:after="120"/>
      </w:pPr>
    </w:p>
    <w:p>
      <w:pPr>
        <w:spacing w:after="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PULLARO</w:t>
      </w:r>
    </w:p>
    <w:p>
      <w:pPr>
        <w:spacing w:after="20"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Bastia Fabian Lionel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2026-10-05T18:05:04.387Z</dcterms:created>
  <dcterms:modified xsi:type="dcterms:W3CDTF">2026-10-05T18:05:04.387Z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